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CEDAC" w:rsidR="0061148E" w:rsidRPr="008F69F5" w:rsidRDefault="009B19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02DC" w:rsidR="0061148E" w:rsidRPr="008F69F5" w:rsidRDefault="009B19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BA56F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42B41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7AC83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9C42E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0458F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122EC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E65E97" w:rsidR="00B87ED3" w:rsidRPr="008F69F5" w:rsidRDefault="009B19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2A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8A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61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B9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C952D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91DBF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06C51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D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1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00C7A7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68CC2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5B536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E895E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1FFAE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2D63E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FDFA96" w:rsidR="00B87ED3" w:rsidRPr="008F69F5" w:rsidRDefault="009B19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DCAA6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5060A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5A65E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93CF7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F59A9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08873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68725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54B2" w:rsidR="00B87ED3" w:rsidRPr="00944D28" w:rsidRDefault="009B1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F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B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A0875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9545A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FB85A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74725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9DAF9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04F37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08A25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06B51" w:rsidR="00B87ED3" w:rsidRPr="00944D28" w:rsidRDefault="009B1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21D4E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F3BB3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D8C6F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414B0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12C4C" w:rsidR="00B87ED3" w:rsidRPr="008F69F5" w:rsidRDefault="009B19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35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45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A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9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